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C0F7F" w14:textId="77777777" w:rsidR="00A978C6" w:rsidRDefault="00A978C6" w:rsidP="00AE4906">
      <w:pPr>
        <w:spacing w:line="240" w:lineRule="auto"/>
        <w:rPr>
          <w:b/>
          <w:sz w:val="20"/>
          <w:szCs w:val="20"/>
          <w:u w:val="single"/>
        </w:rPr>
      </w:pPr>
      <w:r>
        <w:rPr>
          <w:b/>
          <w:noProof/>
          <w:sz w:val="20"/>
          <w:szCs w:val="20"/>
          <w:u w:val="single"/>
          <w:lang w:val="en-US"/>
        </w:rPr>
        <w:drawing>
          <wp:inline distT="0" distB="0" distL="0" distR="0" wp14:anchorId="7B7C0FA1" wp14:editId="7B7C0FA2">
            <wp:extent cx="5956935" cy="1333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6935" cy="133350"/>
                    </a:xfrm>
                    <a:prstGeom prst="rect">
                      <a:avLst/>
                    </a:prstGeom>
                    <a:noFill/>
                  </pic:spPr>
                </pic:pic>
              </a:graphicData>
            </a:graphic>
          </wp:inline>
        </w:drawing>
      </w:r>
    </w:p>
    <w:p w14:paraId="7B7C0F80" w14:textId="77777777" w:rsidR="00A978C6" w:rsidRDefault="00A978C6" w:rsidP="00AE4906">
      <w:pPr>
        <w:spacing w:line="240" w:lineRule="auto"/>
        <w:rPr>
          <w:b/>
          <w:sz w:val="20"/>
          <w:szCs w:val="20"/>
          <w:u w:val="single"/>
        </w:rPr>
      </w:pPr>
      <w:r>
        <w:rPr>
          <w:b/>
          <w:noProof/>
          <w:sz w:val="20"/>
          <w:szCs w:val="20"/>
          <w:u w:val="single"/>
          <w:lang w:val="en-US"/>
        </w:rPr>
        <w:drawing>
          <wp:inline distT="0" distB="0" distL="0" distR="0" wp14:anchorId="7B7C0FA3" wp14:editId="7B7C0FA4">
            <wp:extent cx="3352800" cy="8173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0741" cy="846101"/>
                    </a:xfrm>
                    <a:prstGeom prst="rect">
                      <a:avLst/>
                    </a:prstGeom>
                    <a:noFill/>
                  </pic:spPr>
                </pic:pic>
              </a:graphicData>
            </a:graphic>
          </wp:inline>
        </w:drawing>
      </w:r>
      <w:r>
        <w:rPr>
          <w:b/>
          <w:noProof/>
          <w:sz w:val="20"/>
          <w:szCs w:val="20"/>
          <w:u w:val="single"/>
          <w:lang w:val="en-US"/>
        </w:rPr>
        <w:drawing>
          <wp:inline distT="0" distB="0" distL="0" distR="0" wp14:anchorId="7B7C0FA5" wp14:editId="7B7C0FA6">
            <wp:extent cx="2584450" cy="94292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7139" cy="951207"/>
                    </a:xfrm>
                    <a:prstGeom prst="rect">
                      <a:avLst/>
                    </a:prstGeom>
                    <a:noFill/>
                  </pic:spPr>
                </pic:pic>
              </a:graphicData>
            </a:graphic>
          </wp:inline>
        </w:drawing>
      </w:r>
    </w:p>
    <w:p w14:paraId="7B7C0F81" w14:textId="77777777" w:rsidR="00EF5838" w:rsidRDefault="00EF5838" w:rsidP="00AE4906">
      <w:pPr>
        <w:spacing w:line="240" w:lineRule="auto"/>
        <w:rPr>
          <w:b/>
          <w:sz w:val="20"/>
          <w:szCs w:val="20"/>
          <w:u w:val="single"/>
        </w:rPr>
      </w:pPr>
      <w:r>
        <w:rPr>
          <w:noProof/>
          <w:lang w:val="en-US"/>
        </w:rPr>
        <w:drawing>
          <wp:inline distT="0" distB="0" distL="0" distR="0" wp14:anchorId="7B7C0FA7" wp14:editId="7B7C0FA8">
            <wp:extent cx="5943600" cy="938530"/>
            <wp:effectExtent l="0" t="0" r="0" b="0"/>
            <wp:docPr id="7" name="Shape 189"/>
            <wp:cNvGraphicFramePr/>
            <a:graphic xmlns:a="http://schemas.openxmlformats.org/drawingml/2006/main">
              <a:graphicData uri="http://schemas.openxmlformats.org/drawingml/2006/picture">
                <pic:pic xmlns:pic="http://schemas.openxmlformats.org/drawingml/2006/picture">
                  <pic:nvPicPr>
                    <pic:cNvPr id="189" name="Shape 189"/>
                    <pic:cNvPicPr preferRelativeResize="0"/>
                  </pic:nvPicPr>
                  <pic:blipFill>
                    <a:blip r:embed="rId14">
                      <a:alphaModFix/>
                    </a:blip>
                    <a:stretch>
                      <a:fillRect/>
                    </a:stretch>
                  </pic:blipFill>
                  <pic:spPr>
                    <a:xfrm>
                      <a:off x="0" y="0"/>
                      <a:ext cx="5943600" cy="938530"/>
                    </a:xfrm>
                    <a:prstGeom prst="rect">
                      <a:avLst/>
                    </a:prstGeom>
                    <a:noFill/>
                    <a:ln>
                      <a:noFill/>
                    </a:ln>
                  </pic:spPr>
                </pic:pic>
              </a:graphicData>
            </a:graphic>
          </wp:inline>
        </w:drawing>
      </w:r>
    </w:p>
    <w:p w14:paraId="7B7C0F82" w14:textId="77777777" w:rsidR="00AE4906" w:rsidRPr="00362910" w:rsidRDefault="00AE4906" w:rsidP="00AE4906">
      <w:pPr>
        <w:spacing w:line="240" w:lineRule="auto"/>
        <w:rPr>
          <w:b/>
          <w:sz w:val="20"/>
          <w:szCs w:val="20"/>
          <w:u w:val="single"/>
        </w:rPr>
      </w:pPr>
      <w:r w:rsidRPr="00362910">
        <w:rPr>
          <w:b/>
          <w:sz w:val="20"/>
          <w:szCs w:val="20"/>
          <w:u w:val="single"/>
        </w:rPr>
        <w:t>Overview</w:t>
      </w:r>
    </w:p>
    <w:p w14:paraId="7B7C0F83" w14:textId="2154D59A" w:rsidR="00AE4906" w:rsidRPr="00362910" w:rsidRDefault="00AE4906" w:rsidP="00AE4906">
      <w:pPr>
        <w:spacing w:line="240" w:lineRule="auto"/>
        <w:rPr>
          <w:sz w:val="20"/>
          <w:szCs w:val="20"/>
        </w:rPr>
      </w:pPr>
      <w:r w:rsidRPr="00362910">
        <w:rPr>
          <w:sz w:val="20"/>
          <w:szCs w:val="20"/>
        </w:rPr>
        <w:t>The Excel Center model is a first-of-its-kind adult high school which creates an opportunity for those who previously dropped out of high school to reengage in their education and earn a full, state-recognized high school diploma. The Excel Center was the first adult high school in Indiana and the first-of-its-kind in the nation. The Excel Center is a nationally proven school model founded by Goodwill Education Initiatives</w:t>
      </w:r>
      <w:r w:rsidR="00A41D05">
        <w:rPr>
          <w:sz w:val="20"/>
          <w:szCs w:val="20"/>
        </w:rPr>
        <w:t>, Inc. (GEI)</w:t>
      </w:r>
      <w:r w:rsidRPr="00362910">
        <w:rPr>
          <w:sz w:val="20"/>
          <w:szCs w:val="20"/>
        </w:rPr>
        <w:t xml:space="preserve"> </w:t>
      </w:r>
      <w:r w:rsidR="00A41D05">
        <w:rPr>
          <w:sz w:val="20"/>
          <w:szCs w:val="20"/>
        </w:rPr>
        <w:t xml:space="preserve">which has grown from 1 school in 2010 to </w:t>
      </w:r>
      <w:r w:rsidR="008F181B">
        <w:rPr>
          <w:sz w:val="20"/>
          <w:szCs w:val="20"/>
        </w:rPr>
        <w:t>41</w:t>
      </w:r>
      <w:r w:rsidR="00A41D05">
        <w:rPr>
          <w:sz w:val="20"/>
          <w:szCs w:val="20"/>
        </w:rPr>
        <w:t xml:space="preserve"> schools today</w:t>
      </w:r>
      <w:r w:rsidR="007C4DA3">
        <w:rPr>
          <w:sz w:val="20"/>
          <w:szCs w:val="20"/>
        </w:rPr>
        <w:t>.</w:t>
      </w:r>
      <w:r w:rsidR="00A41D05">
        <w:rPr>
          <w:sz w:val="20"/>
          <w:szCs w:val="20"/>
        </w:rPr>
        <w:t xml:space="preserve"> </w:t>
      </w:r>
    </w:p>
    <w:p w14:paraId="7B7C0F84" w14:textId="77777777" w:rsidR="00AE4906" w:rsidRPr="00362910" w:rsidRDefault="00AE4906" w:rsidP="00AE4906">
      <w:pPr>
        <w:spacing w:line="240" w:lineRule="auto"/>
        <w:rPr>
          <w:sz w:val="20"/>
          <w:szCs w:val="20"/>
        </w:rPr>
      </w:pPr>
    </w:p>
    <w:p w14:paraId="7B7C0F85" w14:textId="77777777" w:rsidR="00AE4906" w:rsidRPr="00362910" w:rsidRDefault="00AE4906" w:rsidP="00AE4906">
      <w:pPr>
        <w:pStyle w:val="NoSpacing"/>
        <w:rPr>
          <w:rFonts w:ascii="Arial" w:hAnsi="Arial" w:cs="Arial"/>
          <w:sz w:val="20"/>
          <w:szCs w:val="20"/>
        </w:rPr>
      </w:pPr>
      <w:r w:rsidRPr="00362910">
        <w:rPr>
          <w:rFonts w:ascii="Arial" w:eastAsia="Calibri" w:hAnsi="Arial" w:cs="Arial"/>
          <w:sz w:val="20"/>
          <w:szCs w:val="20"/>
        </w:rPr>
        <w:t xml:space="preserve">The mission of The Excel Center is to provide adults the opportunity and support to earn a high school diploma and begin post-secondary education while developing career paths in sectors of the local economy that offer better-than-average employment and growth opportunities. The school will “meet students where they are” in their education by providing a flexible structure and supportive relationships to help them manage work, life, and family concerns as they achieve their educational goals. </w:t>
      </w:r>
    </w:p>
    <w:p w14:paraId="7B7C0F86" w14:textId="77777777" w:rsidR="00AE4906" w:rsidRPr="00362910" w:rsidRDefault="00AE4906" w:rsidP="00AE4906">
      <w:pPr>
        <w:pStyle w:val="NoSpacing"/>
        <w:rPr>
          <w:rFonts w:ascii="Arial" w:hAnsi="Arial" w:cs="Arial"/>
          <w:sz w:val="20"/>
          <w:szCs w:val="20"/>
        </w:rPr>
      </w:pPr>
      <w:r w:rsidRPr="00362910">
        <w:rPr>
          <w:rFonts w:ascii="Arial" w:eastAsia="Calibri" w:hAnsi="Arial" w:cs="Arial"/>
          <w:sz w:val="20"/>
          <w:szCs w:val="20"/>
        </w:rPr>
        <w:t xml:space="preserve"> </w:t>
      </w:r>
    </w:p>
    <w:p w14:paraId="7B7C0F87" w14:textId="56D7D01B" w:rsidR="00AE4906" w:rsidRPr="004648C0" w:rsidRDefault="00AE4906" w:rsidP="004648C0">
      <w:pPr>
        <w:pStyle w:val="NoSpacing"/>
        <w:rPr>
          <w:rFonts w:ascii="Arial" w:eastAsia="Calibri" w:hAnsi="Arial" w:cs="Arial"/>
          <w:sz w:val="20"/>
          <w:szCs w:val="20"/>
        </w:rPr>
      </w:pPr>
      <w:proofErr w:type="gramStart"/>
      <w:r w:rsidRPr="00362910">
        <w:rPr>
          <w:rFonts w:ascii="Arial" w:eastAsia="Calibri" w:hAnsi="Arial" w:cs="Arial"/>
          <w:sz w:val="20"/>
          <w:szCs w:val="20"/>
        </w:rPr>
        <w:t>The vision of The Excel Center,</w:t>
      </w:r>
      <w:proofErr w:type="gramEnd"/>
      <w:r w:rsidRPr="00362910">
        <w:rPr>
          <w:rFonts w:ascii="Arial" w:eastAsia="Calibri" w:hAnsi="Arial" w:cs="Arial"/>
          <w:sz w:val="20"/>
          <w:szCs w:val="20"/>
        </w:rPr>
        <w:t xml:space="preserve"> is to deliver on the mission of Goodwill: to change lives by empowering people to increase their independence and reach their potential through education, health, and employment. The Excel Center brings about hope and economic opportunity to communities, families, and individuals. Through the power of education, GEI’s goal is to set people on a pathway towards better career prospects that lead to economic self-sufficiency and breaking the cycle of poverty. </w:t>
      </w:r>
    </w:p>
    <w:p w14:paraId="7B7C0F88" w14:textId="77777777" w:rsidR="004648C0" w:rsidRPr="00362910" w:rsidRDefault="004648C0" w:rsidP="00AE4906">
      <w:pPr>
        <w:pStyle w:val="NoSpacing"/>
        <w:rPr>
          <w:rFonts w:ascii="Arial" w:hAnsi="Arial" w:cs="Arial"/>
          <w:sz w:val="20"/>
          <w:szCs w:val="20"/>
        </w:rPr>
      </w:pPr>
    </w:p>
    <w:p w14:paraId="7B7C0F89" w14:textId="77777777" w:rsidR="00633E51" w:rsidRDefault="00633E51" w:rsidP="00AE4906">
      <w:pPr>
        <w:pStyle w:val="NoSpacing"/>
        <w:rPr>
          <w:rFonts w:ascii="Arial" w:hAnsi="Arial" w:cs="Arial"/>
          <w:b/>
          <w:sz w:val="20"/>
          <w:szCs w:val="20"/>
          <w:u w:val="single"/>
        </w:rPr>
      </w:pPr>
    </w:p>
    <w:p w14:paraId="7B7C0F8A" w14:textId="77777777" w:rsidR="00253546" w:rsidRPr="00362910" w:rsidRDefault="00253546" w:rsidP="00AE4906">
      <w:pPr>
        <w:pStyle w:val="NoSpacing"/>
        <w:rPr>
          <w:rFonts w:ascii="Arial" w:hAnsi="Arial" w:cs="Arial"/>
          <w:b/>
          <w:sz w:val="20"/>
          <w:szCs w:val="20"/>
          <w:u w:val="single"/>
        </w:rPr>
      </w:pPr>
      <w:r w:rsidRPr="00362910">
        <w:rPr>
          <w:rFonts w:ascii="Arial" w:hAnsi="Arial" w:cs="Arial"/>
          <w:b/>
          <w:sz w:val="20"/>
          <w:szCs w:val="20"/>
          <w:u w:val="single"/>
        </w:rPr>
        <w:t>School Model</w:t>
      </w:r>
    </w:p>
    <w:p w14:paraId="7B7C0F8B" w14:textId="77777777" w:rsidR="00253546" w:rsidRPr="00362910" w:rsidRDefault="00253546" w:rsidP="00253546">
      <w:pPr>
        <w:pStyle w:val="NoSpacing"/>
        <w:rPr>
          <w:rFonts w:ascii="Arial" w:hAnsi="Arial" w:cs="Arial"/>
          <w:sz w:val="20"/>
          <w:szCs w:val="20"/>
        </w:rPr>
      </w:pPr>
      <w:r w:rsidRPr="00362910">
        <w:rPr>
          <w:rFonts w:ascii="Arial" w:hAnsi="Arial" w:cs="Arial"/>
          <w:sz w:val="20"/>
          <w:szCs w:val="20"/>
        </w:rPr>
        <w:t>The success of The Excel Center can be directly attributed to the unique school model. The Excel Center “meets students where they are” in their education by providing a flexible structure and supportive relationships to help adults manage work, life, and family concerns as they achieve their educational goals. T</w:t>
      </w:r>
      <w:r w:rsidR="00A35F20" w:rsidRPr="00362910">
        <w:rPr>
          <w:rFonts w:ascii="Arial" w:hAnsi="Arial" w:cs="Arial"/>
          <w:sz w:val="20"/>
          <w:szCs w:val="20"/>
        </w:rPr>
        <w:t xml:space="preserve">he Excel Center’s core model elements are further described below. </w:t>
      </w:r>
    </w:p>
    <w:p w14:paraId="7B7C0F8C" w14:textId="77777777" w:rsidR="00253546" w:rsidRPr="00362910" w:rsidRDefault="00253546" w:rsidP="00253546">
      <w:pPr>
        <w:pStyle w:val="NoSpacing"/>
        <w:rPr>
          <w:rFonts w:ascii="Arial" w:hAnsi="Arial" w:cs="Arial"/>
          <w:sz w:val="20"/>
          <w:szCs w:val="20"/>
        </w:rPr>
      </w:pPr>
    </w:p>
    <w:p w14:paraId="7B7C0F8D" w14:textId="77777777" w:rsidR="00A35F20" w:rsidRPr="00362910" w:rsidRDefault="00A35F20" w:rsidP="00A35F20">
      <w:pPr>
        <w:numPr>
          <w:ilvl w:val="0"/>
          <w:numId w:val="3"/>
        </w:numPr>
        <w:pBdr>
          <w:top w:val="none" w:sz="0" w:space="0" w:color="auto"/>
          <w:left w:val="none" w:sz="0" w:space="0" w:color="auto"/>
          <w:bottom w:val="none" w:sz="0" w:space="0" w:color="auto"/>
          <w:right w:val="none" w:sz="0" w:space="0" w:color="auto"/>
          <w:between w:val="none" w:sz="0" w:space="0" w:color="auto"/>
        </w:pBdr>
        <w:spacing w:line="259" w:lineRule="auto"/>
        <w:textAlignment w:val="baseline"/>
        <w:rPr>
          <w:rFonts w:eastAsia="Times New Roman"/>
          <w:sz w:val="20"/>
          <w:szCs w:val="20"/>
        </w:rPr>
      </w:pPr>
      <w:r w:rsidRPr="00362910">
        <w:rPr>
          <w:rFonts w:eastAsia="Times New Roman"/>
          <w:b/>
          <w:bCs/>
          <w:sz w:val="20"/>
          <w:szCs w:val="20"/>
        </w:rPr>
        <w:t>Barrier removal</w:t>
      </w:r>
      <w:r w:rsidRPr="00362910">
        <w:rPr>
          <w:rFonts w:eastAsia="Times New Roman"/>
          <w:sz w:val="20"/>
          <w:szCs w:val="20"/>
        </w:rPr>
        <w:t>: The Excel Center’s school model is built upon the foundation of helping students identify any of the academic as well as non-academic barriers that may stand in the way of them completing their education and may have led to students dropping out of school in the first place. Key barriers removals include:</w:t>
      </w:r>
    </w:p>
    <w:p w14:paraId="7B7C0F8E" w14:textId="77777777" w:rsidR="00A35F20" w:rsidRPr="00362910" w:rsidRDefault="00A35F20" w:rsidP="00A35F20">
      <w:pPr>
        <w:numPr>
          <w:ilvl w:val="1"/>
          <w:numId w:val="3"/>
        </w:numPr>
        <w:pBdr>
          <w:top w:val="none" w:sz="0" w:space="0" w:color="auto"/>
          <w:left w:val="none" w:sz="0" w:space="0" w:color="auto"/>
          <w:bottom w:val="none" w:sz="0" w:space="0" w:color="auto"/>
          <w:right w:val="none" w:sz="0" w:space="0" w:color="auto"/>
          <w:between w:val="none" w:sz="0" w:space="0" w:color="auto"/>
        </w:pBdr>
        <w:spacing w:line="259" w:lineRule="auto"/>
        <w:textAlignment w:val="baseline"/>
        <w:rPr>
          <w:rFonts w:eastAsia="Times New Roman"/>
          <w:b/>
          <w:bCs/>
          <w:sz w:val="20"/>
          <w:szCs w:val="20"/>
        </w:rPr>
      </w:pPr>
      <w:r w:rsidRPr="00362910">
        <w:rPr>
          <w:rFonts w:eastAsia="Times New Roman"/>
          <w:b/>
          <w:bCs/>
          <w:sz w:val="20"/>
          <w:szCs w:val="20"/>
        </w:rPr>
        <w:t>Transportation assistance</w:t>
      </w:r>
      <w:r w:rsidRPr="00362910">
        <w:rPr>
          <w:rFonts w:eastAsia="Times New Roman"/>
          <w:sz w:val="20"/>
          <w:szCs w:val="20"/>
        </w:rPr>
        <w:t>. The Excel Center makes every reasonable effort to ensure that students have reliable access to the school facility</w:t>
      </w:r>
      <w:r w:rsidR="00A41D05">
        <w:rPr>
          <w:rFonts w:eastAsia="Times New Roman"/>
          <w:sz w:val="20"/>
          <w:szCs w:val="20"/>
        </w:rPr>
        <w:t>, including providing</w:t>
      </w:r>
      <w:r w:rsidRPr="00362910">
        <w:rPr>
          <w:rFonts w:eastAsia="Times New Roman"/>
          <w:sz w:val="20"/>
          <w:szCs w:val="20"/>
        </w:rPr>
        <w:t xml:space="preserve"> free access to public transportation.</w:t>
      </w:r>
    </w:p>
    <w:p w14:paraId="7B7C0F8F" w14:textId="77777777" w:rsidR="00A35F20" w:rsidRPr="00A41D05" w:rsidRDefault="00A35F20" w:rsidP="004C2B4F">
      <w:pPr>
        <w:numPr>
          <w:ilvl w:val="1"/>
          <w:numId w:val="3"/>
        </w:numPr>
        <w:pBdr>
          <w:top w:val="none" w:sz="0" w:space="0" w:color="auto"/>
          <w:left w:val="none" w:sz="0" w:space="0" w:color="auto"/>
          <w:bottom w:val="none" w:sz="0" w:space="0" w:color="auto"/>
          <w:right w:val="none" w:sz="0" w:space="0" w:color="auto"/>
          <w:between w:val="none" w:sz="0" w:space="0" w:color="auto"/>
        </w:pBdr>
        <w:spacing w:line="259" w:lineRule="auto"/>
        <w:textAlignment w:val="baseline"/>
        <w:rPr>
          <w:rFonts w:eastAsia="Times New Roman"/>
          <w:b/>
          <w:bCs/>
          <w:sz w:val="20"/>
          <w:szCs w:val="20"/>
        </w:rPr>
      </w:pPr>
      <w:r w:rsidRPr="00A41D05">
        <w:rPr>
          <w:rFonts w:eastAsia="Times New Roman"/>
          <w:b/>
          <w:bCs/>
          <w:sz w:val="20"/>
          <w:szCs w:val="20"/>
        </w:rPr>
        <w:t>Childcare</w:t>
      </w:r>
      <w:r w:rsidRPr="00A41D05">
        <w:rPr>
          <w:rFonts w:eastAsia="Times New Roman"/>
          <w:sz w:val="20"/>
          <w:szCs w:val="20"/>
        </w:rPr>
        <w:t xml:space="preserve">. The Excel Center provides access to free childcare so that students may routinely attend class with the peace of mind that their children are safe and well-supervised. </w:t>
      </w:r>
    </w:p>
    <w:p w14:paraId="7B7C0F90" w14:textId="77777777" w:rsidR="00A35F20" w:rsidRDefault="00A35F20" w:rsidP="00A35F20">
      <w:pPr>
        <w:numPr>
          <w:ilvl w:val="0"/>
          <w:numId w:val="3"/>
        </w:numPr>
        <w:pBdr>
          <w:top w:val="none" w:sz="0" w:space="0" w:color="auto"/>
          <w:left w:val="none" w:sz="0" w:space="0" w:color="auto"/>
          <w:bottom w:val="none" w:sz="0" w:space="0" w:color="auto"/>
          <w:right w:val="none" w:sz="0" w:space="0" w:color="auto"/>
          <w:between w:val="none" w:sz="0" w:space="0" w:color="auto"/>
        </w:pBdr>
        <w:spacing w:line="259" w:lineRule="auto"/>
        <w:textAlignment w:val="baseline"/>
        <w:rPr>
          <w:rFonts w:eastAsia="Times New Roman"/>
          <w:sz w:val="20"/>
          <w:szCs w:val="20"/>
        </w:rPr>
      </w:pPr>
      <w:r w:rsidRPr="00362910">
        <w:rPr>
          <w:rFonts w:eastAsia="Times New Roman"/>
          <w:b/>
          <w:bCs/>
          <w:sz w:val="20"/>
          <w:szCs w:val="20"/>
        </w:rPr>
        <w:t>Rigorous secondary education</w:t>
      </w:r>
      <w:r w:rsidRPr="00362910">
        <w:rPr>
          <w:rFonts w:eastAsia="Times New Roman"/>
          <w:sz w:val="20"/>
          <w:szCs w:val="20"/>
        </w:rPr>
        <w:t>: Students matriculate through The Excel Center and meet all credit, testing, and graduation requirements students would otherwise be required to meet in a traditional high school. Key school model elements of The Excel Center include:</w:t>
      </w:r>
    </w:p>
    <w:p w14:paraId="7B7C0F91" w14:textId="77777777" w:rsidR="00BC5D97" w:rsidRPr="00BC5D97" w:rsidRDefault="00166DE9" w:rsidP="00E35AE1">
      <w:pPr>
        <w:numPr>
          <w:ilvl w:val="1"/>
          <w:numId w:val="3"/>
        </w:numPr>
        <w:pBdr>
          <w:top w:val="none" w:sz="0" w:space="0" w:color="auto"/>
          <w:left w:val="none" w:sz="0" w:space="0" w:color="auto"/>
          <w:bottom w:val="none" w:sz="0" w:space="0" w:color="auto"/>
          <w:right w:val="none" w:sz="0" w:space="0" w:color="auto"/>
          <w:between w:val="none" w:sz="0" w:space="0" w:color="auto"/>
        </w:pBdr>
        <w:spacing w:line="259" w:lineRule="auto"/>
        <w:textAlignment w:val="baseline"/>
        <w:rPr>
          <w:rFonts w:eastAsia="Times New Roman"/>
          <w:b/>
          <w:bCs/>
          <w:sz w:val="20"/>
          <w:szCs w:val="20"/>
        </w:rPr>
      </w:pPr>
      <w:r w:rsidRPr="00BC5D97">
        <w:rPr>
          <w:rFonts w:eastAsia="Times New Roman"/>
          <w:b/>
          <w:bCs/>
          <w:sz w:val="20"/>
          <w:szCs w:val="20"/>
        </w:rPr>
        <w:t>Face-to-Face Instruction</w:t>
      </w:r>
      <w:r w:rsidRPr="00BC5D97">
        <w:rPr>
          <w:rFonts w:eastAsia="Times New Roman"/>
          <w:bCs/>
          <w:sz w:val="20"/>
          <w:szCs w:val="20"/>
        </w:rPr>
        <w:t xml:space="preserve">. The majority of The Excel Center’s curriculum is delivered via face-to-face instruction in a brick and mortar school setting. </w:t>
      </w:r>
    </w:p>
    <w:p w14:paraId="7B7C0F92" w14:textId="77777777" w:rsidR="00A35F20" w:rsidRPr="00BC5D97" w:rsidRDefault="00A35F20" w:rsidP="00E35AE1">
      <w:pPr>
        <w:numPr>
          <w:ilvl w:val="1"/>
          <w:numId w:val="3"/>
        </w:numPr>
        <w:pBdr>
          <w:top w:val="none" w:sz="0" w:space="0" w:color="auto"/>
          <w:left w:val="none" w:sz="0" w:space="0" w:color="auto"/>
          <w:bottom w:val="none" w:sz="0" w:space="0" w:color="auto"/>
          <w:right w:val="none" w:sz="0" w:space="0" w:color="auto"/>
          <w:between w:val="none" w:sz="0" w:space="0" w:color="auto"/>
        </w:pBdr>
        <w:spacing w:line="259" w:lineRule="auto"/>
        <w:textAlignment w:val="baseline"/>
        <w:rPr>
          <w:rFonts w:eastAsia="Times New Roman"/>
          <w:b/>
          <w:bCs/>
          <w:sz w:val="20"/>
          <w:szCs w:val="20"/>
        </w:rPr>
      </w:pPr>
      <w:r w:rsidRPr="00BC5D97">
        <w:rPr>
          <w:rFonts w:eastAsia="Times New Roman"/>
          <w:b/>
          <w:bCs/>
          <w:sz w:val="20"/>
          <w:szCs w:val="20"/>
        </w:rPr>
        <w:t>Accelerated schedule</w:t>
      </w:r>
      <w:r w:rsidRPr="00BC5D97">
        <w:rPr>
          <w:rFonts w:eastAsia="Times New Roman"/>
          <w:sz w:val="20"/>
          <w:szCs w:val="20"/>
        </w:rPr>
        <w:t>. The academic calendar is structured to operate on five, eight-week terms, allowing students to earn high school credits and meet graduation requirements at an accelerated rate.  </w:t>
      </w:r>
    </w:p>
    <w:p w14:paraId="7B7C0F93" w14:textId="77777777" w:rsidR="00A35F20" w:rsidRPr="00362910" w:rsidRDefault="00A35F20" w:rsidP="00F414D3">
      <w:pPr>
        <w:numPr>
          <w:ilvl w:val="1"/>
          <w:numId w:val="3"/>
        </w:numPr>
        <w:pBdr>
          <w:top w:val="none" w:sz="0" w:space="0" w:color="auto"/>
          <w:left w:val="none" w:sz="0" w:space="0" w:color="auto"/>
          <w:bottom w:val="none" w:sz="0" w:space="0" w:color="auto"/>
          <w:right w:val="none" w:sz="0" w:space="0" w:color="auto"/>
          <w:between w:val="none" w:sz="0" w:space="0" w:color="auto"/>
        </w:pBdr>
        <w:spacing w:line="259" w:lineRule="auto"/>
        <w:textAlignment w:val="baseline"/>
        <w:rPr>
          <w:rFonts w:eastAsia="Times New Roman"/>
          <w:b/>
          <w:bCs/>
          <w:sz w:val="20"/>
          <w:szCs w:val="20"/>
        </w:rPr>
      </w:pPr>
      <w:r w:rsidRPr="00362910">
        <w:rPr>
          <w:rFonts w:eastAsia="Times New Roman"/>
          <w:b/>
          <w:bCs/>
          <w:sz w:val="20"/>
          <w:szCs w:val="20"/>
        </w:rPr>
        <w:lastRenderedPageBreak/>
        <w:t>Course flexibility</w:t>
      </w:r>
      <w:r w:rsidRPr="00362910">
        <w:rPr>
          <w:rFonts w:eastAsia="Times New Roman"/>
          <w:sz w:val="20"/>
          <w:szCs w:val="20"/>
        </w:rPr>
        <w:t xml:space="preserve">. The majority of classes have an accelerated pace and many courses are “bundled,” allowing coursework to integrate various subjects and grant multiple credits in one class. The Excel Center also provides opportunities for credit recovery, avoiding course redundancy when appropriate. </w:t>
      </w:r>
    </w:p>
    <w:p w14:paraId="7B7C0F94" w14:textId="77777777" w:rsidR="00A35F20" w:rsidRPr="00EF5838" w:rsidRDefault="00A35F20" w:rsidP="00F414D3">
      <w:pPr>
        <w:numPr>
          <w:ilvl w:val="1"/>
          <w:numId w:val="3"/>
        </w:numPr>
        <w:pBdr>
          <w:top w:val="none" w:sz="0" w:space="0" w:color="auto"/>
          <w:left w:val="none" w:sz="0" w:space="0" w:color="auto"/>
          <w:bottom w:val="none" w:sz="0" w:space="0" w:color="auto"/>
          <w:right w:val="none" w:sz="0" w:space="0" w:color="auto"/>
          <w:between w:val="none" w:sz="0" w:space="0" w:color="auto"/>
        </w:pBdr>
        <w:spacing w:line="259" w:lineRule="auto"/>
        <w:textAlignment w:val="baseline"/>
        <w:rPr>
          <w:rFonts w:eastAsia="Times New Roman"/>
          <w:b/>
          <w:bCs/>
          <w:sz w:val="20"/>
          <w:szCs w:val="20"/>
        </w:rPr>
      </w:pPr>
      <w:r w:rsidRPr="00362910">
        <w:rPr>
          <w:rFonts w:eastAsia="Times New Roman"/>
          <w:b/>
          <w:bCs/>
          <w:sz w:val="20"/>
          <w:szCs w:val="20"/>
        </w:rPr>
        <w:t>Remediation</w:t>
      </w:r>
      <w:r w:rsidRPr="00362910">
        <w:rPr>
          <w:rFonts w:eastAsia="Times New Roman"/>
          <w:sz w:val="20"/>
          <w:szCs w:val="20"/>
        </w:rPr>
        <w:t xml:space="preserve">. Students who do not possess the skill levels needed to be successful in the program participate in high quality, deliberate instruction to build basic skills and prepare for secondary-level instruction. </w:t>
      </w:r>
    </w:p>
    <w:p w14:paraId="7B7C0F95" w14:textId="77777777" w:rsidR="00EF5838" w:rsidRPr="00A41D05" w:rsidRDefault="00EF5838" w:rsidP="00EF5838">
      <w:pPr>
        <w:pBdr>
          <w:top w:val="none" w:sz="0" w:space="0" w:color="auto"/>
          <w:left w:val="none" w:sz="0" w:space="0" w:color="auto"/>
          <w:bottom w:val="none" w:sz="0" w:space="0" w:color="auto"/>
          <w:right w:val="none" w:sz="0" w:space="0" w:color="auto"/>
          <w:between w:val="none" w:sz="0" w:space="0" w:color="auto"/>
        </w:pBdr>
        <w:spacing w:line="259" w:lineRule="auto"/>
        <w:textAlignment w:val="baseline"/>
        <w:rPr>
          <w:rFonts w:eastAsia="Times New Roman"/>
          <w:b/>
          <w:bCs/>
          <w:sz w:val="20"/>
          <w:szCs w:val="20"/>
        </w:rPr>
      </w:pPr>
    </w:p>
    <w:p w14:paraId="7B7C0F96" w14:textId="77777777" w:rsidR="00A35F20" w:rsidRPr="00A41D05" w:rsidRDefault="00A35F20" w:rsidP="00EF5838">
      <w:pPr>
        <w:numPr>
          <w:ilvl w:val="0"/>
          <w:numId w:val="3"/>
        </w:numPr>
        <w:pBdr>
          <w:top w:val="none" w:sz="0" w:space="0" w:color="auto"/>
          <w:left w:val="none" w:sz="0" w:space="0" w:color="auto"/>
          <w:bottom w:val="none" w:sz="0" w:space="0" w:color="auto"/>
          <w:right w:val="none" w:sz="0" w:space="0" w:color="auto"/>
          <w:between w:val="none" w:sz="0" w:space="0" w:color="auto"/>
        </w:pBdr>
        <w:tabs>
          <w:tab w:val="num" w:pos="720"/>
        </w:tabs>
        <w:spacing w:line="259" w:lineRule="auto"/>
        <w:textAlignment w:val="baseline"/>
        <w:rPr>
          <w:rFonts w:eastAsia="Times New Roman"/>
          <w:b/>
          <w:bCs/>
          <w:sz w:val="20"/>
          <w:szCs w:val="20"/>
        </w:rPr>
      </w:pPr>
      <w:r w:rsidRPr="00362910">
        <w:rPr>
          <w:rFonts w:eastAsia="Times New Roman"/>
          <w:b/>
          <w:bCs/>
          <w:sz w:val="20"/>
          <w:szCs w:val="20"/>
        </w:rPr>
        <w:t>Career pathways and college transition</w:t>
      </w:r>
      <w:r w:rsidRPr="00362910">
        <w:rPr>
          <w:rFonts w:eastAsia="Times New Roman"/>
          <w:sz w:val="20"/>
          <w:szCs w:val="20"/>
        </w:rPr>
        <w:t>: In addition to high school coursework, the school will provide significant support for students to establish (1) career pathways in growth industry sectors in the local region and (2) effective transitions into postsecondary education and credentialing opportunities.  </w:t>
      </w:r>
    </w:p>
    <w:p w14:paraId="7B7C0F97" w14:textId="77777777" w:rsidR="004648C0" w:rsidRDefault="00A35F20" w:rsidP="00EF5838">
      <w:pPr>
        <w:numPr>
          <w:ilvl w:val="0"/>
          <w:numId w:val="3"/>
        </w:numPr>
        <w:pBdr>
          <w:top w:val="none" w:sz="0" w:space="0" w:color="auto"/>
          <w:left w:val="none" w:sz="0" w:space="0" w:color="auto"/>
          <w:bottom w:val="none" w:sz="0" w:space="0" w:color="auto"/>
          <w:right w:val="none" w:sz="0" w:space="0" w:color="auto"/>
          <w:between w:val="none" w:sz="0" w:space="0" w:color="auto"/>
        </w:pBdr>
        <w:tabs>
          <w:tab w:val="num" w:pos="720"/>
        </w:tabs>
        <w:spacing w:line="240" w:lineRule="auto"/>
        <w:textAlignment w:val="baseline"/>
        <w:rPr>
          <w:rFonts w:eastAsia="Times New Roman"/>
          <w:b/>
          <w:bCs/>
          <w:sz w:val="20"/>
          <w:szCs w:val="20"/>
        </w:rPr>
      </w:pPr>
      <w:r w:rsidRPr="00A41D05">
        <w:rPr>
          <w:rFonts w:eastAsia="Times New Roman"/>
          <w:b/>
          <w:bCs/>
          <w:sz w:val="20"/>
          <w:szCs w:val="20"/>
        </w:rPr>
        <w:t>Life coaching</w:t>
      </w:r>
      <w:r w:rsidRPr="00A41D05">
        <w:rPr>
          <w:rFonts w:eastAsia="Times New Roman"/>
          <w:sz w:val="20"/>
          <w:szCs w:val="20"/>
        </w:rPr>
        <w:t xml:space="preserve">: Each student is assigned a life coach who assists students addresses the life barriers and issues that prevent students from being successful. Coaches work with students to identify potential barriers to students’ continued education, whether short-term barriers (such as food assistance or transportation) or long-term challenges (including student self-efficacy and self-confidence). </w:t>
      </w:r>
    </w:p>
    <w:p w14:paraId="7B7C0F98" w14:textId="77777777" w:rsidR="004648C0" w:rsidRDefault="004648C0" w:rsidP="003B4A30">
      <w:pPr>
        <w:pStyle w:val="NoSpacing"/>
        <w:rPr>
          <w:rFonts w:ascii="Arial" w:hAnsi="Arial" w:cs="Arial"/>
          <w:sz w:val="20"/>
          <w:szCs w:val="20"/>
        </w:rPr>
      </w:pPr>
    </w:p>
    <w:p w14:paraId="7B7C0F99" w14:textId="77777777" w:rsidR="003B4A30" w:rsidRDefault="003B4A30" w:rsidP="004648C0">
      <w:pPr>
        <w:pStyle w:val="NoSpacing"/>
        <w:rPr>
          <w:rFonts w:ascii="Arial" w:hAnsi="Arial" w:cs="Arial"/>
          <w:sz w:val="20"/>
          <w:szCs w:val="20"/>
        </w:rPr>
      </w:pPr>
      <w:r>
        <w:rPr>
          <w:rFonts w:eastAsia="Times New Roman"/>
          <w:noProof/>
          <w:lang w:bidi="ar-SA"/>
        </w:rPr>
        <w:drawing>
          <wp:inline distT="0" distB="0" distL="0" distR="0" wp14:anchorId="7B7C0FA9" wp14:editId="7B7C0FAA">
            <wp:extent cx="3102192" cy="2428875"/>
            <wp:effectExtent l="0" t="0" r="3175" b="0"/>
            <wp:docPr id="14" name="Picture 14" descr="cid:732bb0af-1ea6-4a02-944c-1d878f3883be@namprd1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732bb0af-1ea6-4a02-944c-1d878f3883be@namprd16.prod.outlook.com"/>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104797" cy="2430915"/>
                    </a:xfrm>
                    <a:prstGeom prst="rect">
                      <a:avLst/>
                    </a:prstGeom>
                    <a:noFill/>
                    <a:ln>
                      <a:noFill/>
                    </a:ln>
                  </pic:spPr>
                </pic:pic>
              </a:graphicData>
            </a:graphic>
          </wp:inline>
        </w:drawing>
      </w:r>
      <w:r>
        <w:rPr>
          <w:rFonts w:eastAsia="Times New Roman"/>
          <w:noProof/>
          <w:lang w:bidi="ar-SA"/>
        </w:rPr>
        <w:drawing>
          <wp:inline distT="0" distB="0" distL="0" distR="0" wp14:anchorId="7B7C0FAB" wp14:editId="7B7C0FAC">
            <wp:extent cx="2571750" cy="2435764"/>
            <wp:effectExtent l="0" t="0" r="0" b="3175"/>
            <wp:docPr id="15" name="Picture 15" descr="cid:df5afac9-32bc-41d5-a7f1-f9a18cd0b61a@namprd1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df5afac9-32bc-41d5-a7f1-f9a18cd0b61a@namprd16.prod.outlook.com"/>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624935" cy="2486137"/>
                    </a:xfrm>
                    <a:prstGeom prst="rect">
                      <a:avLst/>
                    </a:prstGeom>
                    <a:noFill/>
                    <a:ln>
                      <a:noFill/>
                    </a:ln>
                  </pic:spPr>
                </pic:pic>
              </a:graphicData>
            </a:graphic>
          </wp:inline>
        </w:drawing>
      </w:r>
    </w:p>
    <w:p w14:paraId="7B7C0F9A" w14:textId="77777777" w:rsidR="003B4A30" w:rsidRDefault="003B4A30" w:rsidP="004648C0">
      <w:pPr>
        <w:pStyle w:val="NoSpacing"/>
        <w:rPr>
          <w:rFonts w:ascii="Arial" w:hAnsi="Arial" w:cs="Arial"/>
          <w:sz w:val="20"/>
          <w:szCs w:val="20"/>
        </w:rPr>
      </w:pPr>
    </w:p>
    <w:p w14:paraId="7B7C0F9B" w14:textId="77777777" w:rsidR="003B4A30" w:rsidRPr="00362910" w:rsidRDefault="003B4A30" w:rsidP="004648C0">
      <w:pPr>
        <w:pStyle w:val="NoSpacing"/>
        <w:rPr>
          <w:rFonts w:ascii="Arial" w:hAnsi="Arial" w:cs="Arial"/>
          <w:sz w:val="20"/>
          <w:szCs w:val="20"/>
        </w:rPr>
      </w:pPr>
    </w:p>
    <w:p w14:paraId="7B7C0F9C" w14:textId="77777777" w:rsidR="004648C0" w:rsidRPr="00362910" w:rsidRDefault="004648C0" w:rsidP="004648C0">
      <w:pPr>
        <w:pStyle w:val="NoSpacing"/>
        <w:rPr>
          <w:rFonts w:ascii="Arial" w:hAnsi="Arial" w:cs="Arial"/>
          <w:b/>
          <w:sz w:val="20"/>
          <w:szCs w:val="20"/>
          <w:u w:val="single"/>
        </w:rPr>
      </w:pPr>
      <w:r w:rsidRPr="00362910">
        <w:rPr>
          <w:rFonts w:ascii="Arial" w:hAnsi="Arial" w:cs="Arial"/>
          <w:b/>
          <w:sz w:val="20"/>
          <w:szCs w:val="20"/>
          <w:u w:val="single"/>
        </w:rPr>
        <w:t>Outcomes</w:t>
      </w:r>
    </w:p>
    <w:p w14:paraId="61DB4C4E" w14:textId="4945D936" w:rsidR="002321A6" w:rsidRDefault="004648C0" w:rsidP="004648C0">
      <w:pPr>
        <w:pStyle w:val="NoSpacing"/>
        <w:rPr>
          <w:rFonts w:ascii="Arial" w:hAnsi="Arial" w:cs="Arial"/>
          <w:sz w:val="20"/>
          <w:szCs w:val="20"/>
        </w:rPr>
      </w:pPr>
      <w:r w:rsidRPr="00362910">
        <w:rPr>
          <w:rFonts w:ascii="Arial" w:hAnsi="Arial" w:cs="Arial"/>
          <w:sz w:val="20"/>
          <w:szCs w:val="20"/>
        </w:rPr>
        <w:t xml:space="preserve">The Excel Center has seen significantly positive measurable outcomes in its short history with over </w:t>
      </w:r>
      <w:r w:rsidR="00CA1143">
        <w:rPr>
          <w:rFonts w:ascii="Arial" w:hAnsi="Arial" w:cs="Arial"/>
          <w:sz w:val="20"/>
          <w:szCs w:val="20"/>
        </w:rPr>
        <w:t>9</w:t>
      </w:r>
      <w:r w:rsidR="00761376">
        <w:rPr>
          <w:rFonts w:ascii="Arial" w:hAnsi="Arial" w:cs="Arial"/>
          <w:sz w:val="20"/>
          <w:szCs w:val="20"/>
        </w:rPr>
        <w:t>,</w:t>
      </w:r>
      <w:r w:rsidR="00CA1143">
        <w:rPr>
          <w:rFonts w:ascii="Arial" w:hAnsi="Arial" w:cs="Arial"/>
          <w:sz w:val="20"/>
          <w:szCs w:val="20"/>
        </w:rPr>
        <w:t>5</w:t>
      </w:r>
      <w:r w:rsidR="00974EAE">
        <w:rPr>
          <w:rFonts w:ascii="Arial" w:hAnsi="Arial" w:cs="Arial"/>
          <w:sz w:val="20"/>
          <w:szCs w:val="20"/>
        </w:rPr>
        <w:t>0</w:t>
      </w:r>
      <w:r w:rsidR="00761376">
        <w:rPr>
          <w:rFonts w:ascii="Arial" w:hAnsi="Arial" w:cs="Arial"/>
          <w:sz w:val="20"/>
          <w:szCs w:val="20"/>
        </w:rPr>
        <w:t>0</w:t>
      </w:r>
      <w:r w:rsidRPr="00362910">
        <w:rPr>
          <w:rFonts w:ascii="Arial" w:hAnsi="Arial" w:cs="Arial"/>
          <w:sz w:val="20"/>
          <w:szCs w:val="20"/>
        </w:rPr>
        <w:t xml:space="preserve"> graduates since its inception and a total of 98% of all graduates.</w:t>
      </w:r>
      <w:r w:rsidR="007B06B3">
        <w:rPr>
          <w:rFonts w:ascii="Arial" w:hAnsi="Arial" w:cs="Arial"/>
          <w:sz w:val="20"/>
          <w:szCs w:val="20"/>
        </w:rPr>
        <w:t xml:space="preserve">  </w:t>
      </w:r>
      <w:r w:rsidR="000C041D">
        <w:rPr>
          <w:rFonts w:ascii="Arial" w:hAnsi="Arial" w:cs="Arial"/>
          <w:sz w:val="20"/>
          <w:szCs w:val="20"/>
        </w:rPr>
        <w:t>University of Notre Dame found:</w:t>
      </w:r>
      <w:r w:rsidRPr="00362910">
        <w:rPr>
          <w:rFonts w:ascii="Arial" w:hAnsi="Arial" w:cs="Arial"/>
          <w:sz w:val="20"/>
          <w:szCs w:val="20"/>
        </w:rPr>
        <w:t xml:space="preserve"> </w:t>
      </w:r>
    </w:p>
    <w:p w14:paraId="7B7C0F9D" w14:textId="3A5BC43A" w:rsidR="004648C0" w:rsidRPr="009B0F64" w:rsidRDefault="00F7654A" w:rsidP="002321A6">
      <w:pPr>
        <w:pStyle w:val="NoSpacing"/>
        <w:numPr>
          <w:ilvl w:val="0"/>
          <w:numId w:val="8"/>
        </w:numPr>
        <w:rPr>
          <w:rFonts w:ascii="Arial" w:hAnsi="Arial" w:cs="Arial"/>
          <w:sz w:val="20"/>
          <w:szCs w:val="20"/>
        </w:rPr>
      </w:pPr>
      <w:r w:rsidRPr="009B0F64">
        <w:rPr>
          <w:rFonts w:ascii="Arial" w:hAnsi="Arial" w:cs="Arial"/>
          <w:sz w:val="20"/>
          <w:szCs w:val="20"/>
        </w:rPr>
        <w:t>40% increase in employment for Excel Center graduates compared to before they enrolled and 20% greater workforce participation than their peers (</w:t>
      </w:r>
      <w:r w:rsidR="000C041D">
        <w:rPr>
          <w:rFonts w:ascii="Arial" w:hAnsi="Arial" w:cs="Arial"/>
          <w:sz w:val="20"/>
          <w:szCs w:val="20"/>
        </w:rPr>
        <w:t>ND/</w:t>
      </w:r>
      <w:r w:rsidRPr="009B0F64">
        <w:rPr>
          <w:rFonts w:ascii="Arial" w:hAnsi="Arial" w:cs="Arial"/>
          <w:sz w:val="20"/>
          <w:szCs w:val="20"/>
        </w:rPr>
        <w:t>LEO, 2021)</w:t>
      </w:r>
    </w:p>
    <w:p w14:paraId="7D14219D" w14:textId="6191F95A" w:rsidR="002321A6" w:rsidRPr="009B0F64" w:rsidRDefault="009B0F64" w:rsidP="002321A6">
      <w:pPr>
        <w:pStyle w:val="NoSpacing"/>
        <w:numPr>
          <w:ilvl w:val="0"/>
          <w:numId w:val="8"/>
        </w:numPr>
        <w:rPr>
          <w:rFonts w:ascii="Arial" w:hAnsi="Arial" w:cs="Arial"/>
          <w:sz w:val="20"/>
          <w:szCs w:val="20"/>
        </w:rPr>
      </w:pPr>
      <w:r w:rsidRPr="009B0F64">
        <w:rPr>
          <w:rFonts w:ascii="Arial" w:hAnsi="Arial" w:cs="Arial"/>
          <w:sz w:val="20"/>
          <w:szCs w:val="20"/>
        </w:rPr>
        <w:t>39% increase in earnings for Excel Center graduates compared to those without a diploma (</w:t>
      </w:r>
      <w:r w:rsidR="006212CC">
        <w:rPr>
          <w:rFonts w:ascii="Arial" w:hAnsi="Arial" w:cs="Arial"/>
          <w:sz w:val="20"/>
          <w:szCs w:val="20"/>
        </w:rPr>
        <w:t>ND/</w:t>
      </w:r>
      <w:r w:rsidRPr="009B0F64">
        <w:rPr>
          <w:rFonts w:ascii="Arial" w:hAnsi="Arial" w:cs="Arial"/>
          <w:sz w:val="20"/>
          <w:szCs w:val="20"/>
        </w:rPr>
        <w:t>LEO, 2021)</w:t>
      </w:r>
    </w:p>
    <w:p w14:paraId="7B7C0F9E" w14:textId="77777777" w:rsidR="004648C0" w:rsidRDefault="004648C0" w:rsidP="004648C0">
      <w:pPr>
        <w:pStyle w:val="NoSpacing"/>
        <w:rPr>
          <w:rFonts w:ascii="Arial" w:hAnsi="Arial" w:cs="Arial"/>
          <w:sz w:val="20"/>
          <w:szCs w:val="20"/>
        </w:rPr>
      </w:pPr>
    </w:p>
    <w:p w14:paraId="7B7C0F9F" w14:textId="77777777" w:rsidR="004648C0" w:rsidRDefault="004648C0" w:rsidP="004648C0">
      <w:pPr>
        <w:pStyle w:val="NoSpacing"/>
        <w:rPr>
          <w:rFonts w:ascii="Arial" w:hAnsi="Arial" w:cs="Arial"/>
          <w:sz w:val="20"/>
          <w:szCs w:val="20"/>
        </w:rPr>
      </w:pPr>
      <w:r w:rsidRPr="00362910">
        <w:rPr>
          <w:rFonts w:ascii="Arial" w:hAnsi="Arial" w:cs="Arial"/>
          <w:sz w:val="20"/>
          <w:szCs w:val="20"/>
        </w:rPr>
        <w:t>A third-party review</w:t>
      </w:r>
      <w:r w:rsidRPr="00362910">
        <w:rPr>
          <w:rStyle w:val="FootnoteReference"/>
          <w:rFonts w:ascii="Arial" w:hAnsi="Arial" w:cs="Arial"/>
          <w:sz w:val="20"/>
          <w:szCs w:val="20"/>
        </w:rPr>
        <w:footnoteReference w:id="1"/>
      </w:r>
      <w:r w:rsidRPr="00362910">
        <w:rPr>
          <w:rFonts w:ascii="Arial" w:hAnsi="Arial" w:cs="Arial"/>
          <w:sz w:val="20"/>
          <w:szCs w:val="20"/>
        </w:rPr>
        <w:t xml:space="preserve"> of The Excel Center’s impact has demonstrated that students’ employment levels and earnings increase significantly as a result of attending. Graduating from The Excel Center confers a wage and re-employment effect premium of $9,828 per graduate. In addition, a graduate from The Excel Center utilizes significantly less money per year in public spending among public assistance programs, leading to an annual </w:t>
      </w:r>
      <w:r w:rsidR="003142EA">
        <w:rPr>
          <w:rFonts w:ascii="Arial" w:hAnsi="Arial" w:cs="Arial"/>
          <w:sz w:val="20"/>
          <w:szCs w:val="20"/>
        </w:rPr>
        <w:t xml:space="preserve">fiscal </w:t>
      </w:r>
      <w:r w:rsidRPr="00362910">
        <w:rPr>
          <w:rFonts w:ascii="Arial" w:hAnsi="Arial" w:cs="Arial"/>
          <w:sz w:val="20"/>
          <w:szCs w:val="20"/>
        </w:rPr>
        <w:t>savings of $793.60 per year per student and a total of $1,898,291 in annual savings yielded by all graduates of The Excel Center in Indiana. Equally important to the employment rate of graduates, 38% of students who graduate from The Excel Center enroll in post-secondary education, and 76% have at least a two-year persistency rate.</w:t>
      </w:r>
    </w:p>
    <w:p w14:paraId="7B7C0FA0" w14:textId="35FEA491" w:rsidR="004648C0" w:rsidRDefault="004648C0" w:rsidP="004648C0">
      <w:pPr>
        <w:pStyle w:val="NoSpacing"/>
        <w:rPr>
          <w:rFonts w:ascii="Arial" w:hAnsi="Arial" w:cs="Arial"/>
          <w:sz w:val="20"/>
          <w:szCs w:val="20"/>
        </w:rPr>
      </w:pPr>
      <w:r>
        <w:rPr>
          <w:rFonts w:ascii="Arial" w:hAnsi="Arial" w:cs="Arial"/>
          <w:sz w:val="20"/>
          <w:szCs w:val="20"/>
        </w:rPr>
        <w:t xml:space="preserve">Since Memphis opened The Excel Center in 2015, the school has had </w:t>
      </w:r>
      <w:r w:rsidR="00615C18">
        <w:rPr>
          <w:rFonts w:ascii="Arial" w:hAnsi="Arial" w:cs="Arial"/>
          <w:sz w:val="20"/>
          <w:szCs w:val="20"/>
        </w:rPr>
        <w:t xml:space="preserve">over </w:t>
      </w:r>
      <w:r w:rsidR="00FB51BD">
        <w:rPr>
          <w:rFonts w:ascii="Arial" w:hAnsi="Arial" w:cs="Arial"/>
          <w:sz w:val="20"/>
          <w:szCs w:val="20"/>
        </w:rPr>
        <w:t>1,</w:t>
      </w:r>
      <w:r w:rsidR="008F181B">
        <w:rPr>
          <w:rFonts w:ascii="Arial" w:hAnsi="Arial" w:cs="Arial"/>
          <w:sz w:val="20"/>
          <w:szCs w:val="20"/>
        </w:rPr>
        <w:t>500</w:t>
      </w:r>
      <w:r w:rsidR="008962A2">
        <w:rPr>
          <w:rFonts w:ascii="Arial" w:hAnsi="Arial" w:cs="Arial"/>
          <w:sz w:val="20"/>
          <w:szCs w:val="20"/>
        </w:rPr>
        <w:t xml:space="preserve"> </w:t>
      </w:r>
      <w:r>
        <w:rPr>
          <w:rFonts w:ascii="Arial" w:hAnsi="Arial" w:cs="Arial"/>
          <w:sz w:val="20"/>
          <w:szCs w:val="20"/>
        </w:rPr>
        <w:t>graduates</w:t>
      </w:r>
      <w:r w:rsidR="003142EA">
        <w:rPr>
          <w:rFonts w:ascii="Arial" w:hAnsi="Arial" w:cs="Arial"/>
          <w:sz w:val="20"/>
          <w:szCs w:val="20"/>
        </w:rPr>
        <w:t xml:space="preserve">.  </w:t>
      </w:r>
      <w:r>
        <w:rPr>
          <w:rFonts w:ascii="Arial" w:hAnsi="Arial" w:cs="Arial"/>
          <w:sz w:val="20"/>
          <w:szCs w:val="20"/>
        </w:rPr>
        <w:t>Additionally, 8</w:t>
      </w:r>
      <w:r w:rsidR="00615C18">
        <w:rPr>
          <w:rFonts w:ascii="Arial" w:hAnsi="Arial" w:cs="Arial"/>
          <w:sz w:val="20"/>
          <w:szCs w:val="20"/>
        </w:rPr>
        <w:t>6</w:t>
      </w:r>
      <w:r w:rsidRPr="00362910">
        <w:rPr>
          <w:rFonts w:ascii="Arial" w:hAnsi="Arial" w:cs="Arial"/>
          <w:sz w:val="20"/>
          <w:szCs w:val="20"/>
        </w:rPr>
        <w:t>% of Excel Center graduates are currently employed</w:t>
      </w:r>
      <w:r>
        <w:rPr>
          <w:rFonts w:ascii="Arial" w:hAnsi="Arial" w:cs="Arial"/>
          <w:sz w:val="20"/>
          <w:szCs w:val="20"/>
        </w:rPr>
        <w:t xml:space="preserve"> or enrolled in college compared to 42</w:t>
      </w:r>
      <w:r w:rsidRPr="00362910">
        <w:rPr>
          <w:rFonts w:ascii="Arial" w:hAnsi="Arial" w:cs="Arial"/>
          <w:sz w:val="20"/>
          <w:szCs w:val="20"/>
        </w:rPr>
        <w:t>% at school intake</w:t>
      </w:r>
      <w:r w:rsidR="003142EA">
        <w:rPr>
          <w:rFonts w:ascii="Arial" w:hAnsi="Arial" w:cs="Arial"/>
          <w:sz w:val="20"/>
          <w:szCs w:val="20"/>
        </w:rPr>
        <w:t>.</w:t>
      </w:r>
    </w:p>
    <w:sectPr w:rsidR="004648C0" w:rsidSect="00A41D05">
      <w:pgSz w:w="12240" w:h="15840"/>
      <w:pgMar w:top="547"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7D5F4" w14:textId="77777777" w:rsidR="00416794" w:rsidRDefault="00416794">
      <w:pPr>
        <w:spacing w:line="240" w:lineRule="auto"/>
      </w:pPr>
      <w:r>
        <w:separator/>
      </w:r>
    </w:p>
  </w:endnote>
  <w:endnote w:type="continuationSeparator" w:id="0">
    <w:p w14:paraId="4ED2162C" w14:textId="77777777" w:rsidR="00416794" w:rsidRDefault="004167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D1D09" w14:textId="77777777" w:rsidR="00416794" w:rsidRDefault="00416794">
      <w:pPr>
        <w:spacing w:line="240" w:lineRule="auto"/>
      </w:pPr>
      <w:r>
        <w:separator/>
      </w:r>
    </w:p>
  </w:footnote>
  <w:footnote w:type="continuationSeparator" w:id="0">
    <w:p w14:paraId="5356DCD5" w14:textId="77777777" w:rsidR="00416794" w:rsidRDefault="00416794">
      <w:pPr>
        <w:spacing w:line="240" w:lineRule="auto"/>
      </w:pPr>
      <w:r>
        <w:continuationSeparator/>
      </w:r>
    </w:p>
  </w:footnote>
  <w:footnote w:id="1">
    <w:p w14:paraId="7B7C0FB1" w14:textId="77777777" w:rsidR="004648C0" w:rsidRPr="005525D0" w:rsidRDefault="004648C0" w:rsidP="004648C0">
      <w:pPr>
        <w:pStyle w:val="FootnoteText"/>
        <w:rPr>
          <w:lang w:val="en-US"/>
        </w:rPr>
      </w:pPr>
      <w:r>
        <w:rPr>
          <w:rStyle w:val="FootnoteReference"/>
        </w:rPr>
        <w:footnoteRef/>
      </w:r>
      <w:r>
        <w:t xml:space="preserve"> </w:t>
      </w:r>
      <w:r w:rsidRPr="00AD335A">
        <w:rPr>
          <w:sz w:val="18"/>
          <w:szCs w:val="18"/>
        </w:rPr>
        <w:t>Center for Evaluation &amp; Education Policy (March 2017). “The Excel Center Research Report”.  Indiana University. Bloomington, Indiana.</w:t>
      </w:r>
      <w:r w:rsidRPr="004F2467">
        <w:rPr>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B1F7C"/>
    <w:multiLevelType w:val="hybridMultilevel"/>
    <w:tmpl w:val="1DBAB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13308"/>
    <w:multiLevelType w:val="hybridMultilevel"/>
    <w:tmpl w:val="0E80821E"/>
    <w:lvl w:ilvl="0" w:tplc="6262A4E2">
      <w:start w:val="1"/>
      <w:numFmt w:val="bullet"/>
      <w:lvlText w:val="•"/>
      <w:lvlJc w:val="left"/>
      <w:pPr>
        <w:tabs>
          <w:tab w:val="num" w:pos="720"/>
        </w:tabs>
        <w:ind w:left="720" w:hanging="360"/>
      </w:pPr>
      <w:rPr>
        <w:rFonts w:ascii="Times New Roman" w:hAnsi="Times New Roman" w:hint="default"/>
      </w:rPr>
    </w:lvl>
    <w:lvl w:ilvl="1" w:tplc="1F3CA0F8" w:tentative="1">
      <w:start w:val="1"/>
      <w:numFmt w:val="bullet"/>
      <w:lvlText w:val="•"/>
      <w:lvlJc w:val="left"/>
      <w:pPr>
        <w:tabs>
          <w:tab w:val="num" w:pos="1440"/>
        </w:tabs>
        <w:ind w:left="1440" w:hanging="360"/>
      </w:pPr>
      <w:rPr>
        <w:rFonts w:ascii="Times New Roman" w:hAnsi="Times New Roman" w:hint="default"/>
      </w:rPr>
    </w:lvl>
    <w:lvl w:ilvl="2" w:tplc="D88C1D3A" w:tentative="1">
      <w:start w:val="1"/>
      <w:numFmt w:val="bullet"/>
      <w:lvlText w:val="•"/>
      <w:lvlJc w:val="left"/>
      <w:pPr>
        <w:tabs>
          <w:tab w:val="num" w:pos="2160"/>
        </w:tabs>
        <w:ind w:left="2160" w:hanging="360"/>
      </w:pPr>
      <w:rPr>
        <w:rFonts w:ascii="Times New Roman" w:hAnsi="Times New Roman" w:hint="default"/>
      </w:rPr>
    </w:lvl>
    <w:lvl w:ilvl="3" w:tplc="80C469E8" w:tentative="1">
      <w:start w:val="1"/>
      <w:numFmt w:val="bullet"/>
      <w:lvlText w:val="•"/>
      <w:lvlJc w:val="left"/>
      <w:pPr>
        <w:tabs>
          <w:tab w:val="num" w:pos="2880"/>
        </w:tabs>
        <w:ind w:left="2880" w:hanging="360"/>
      </w:pPr>
      <w:rPr>
        <w:rFonts w:ascii="Times New Roman" w:hAnsi="Times New Roman" w:hint="default"/>
      </w:rPr>
    </w:lvl>
    <w:lvl w:ilvl="4" w:tplc="54BE91CE" w:tentative="1">
      <w:start w:val="1"/>
      <w:numFmt w:val="bullet"/>
      <w:lvlText w:val="•"/>
      <w:lvlJc w:val="left"/>
      <w:pPr>
        <w:tabs>
          <w:tab w:val="num" w:pos="3600"/>
        </w:tabs>
        <w:ind w:left="3600" w:hanging="360"/>
      </w:pPr>
      <w:rPr>
        <w:rFonts w:ascii="Times New Roman" w:hAnsi="Times New Roman" w:hint="default"/>
      </w:rPr>
    </w:lvl>
    <w:lvl w:ilvl="5" w:tplc="F67A4D16" w:tentative="1">
      <w:start w:val="1"/>
      <w:numFmt w:val="bullet"/>
      <w:lvlText w:val="•"/>
      <w:lvlJc w:val="left"/>
      <w:pPr>
        <w:tabs>
          <w:tab w:val="num" w:pos="4320"/>
        </w:tabs>
        <w:ind w:left="4320" w:hanging="360"/>
      </w:pPr>
      <w:rPr>
        <w:rFonts w:ascii="Times New Roman" w:hAnsi="Times New Roman" w:hint="default"/>
      </w:rPr>
    </w:lvl>
    <w:lvl w:ilvl="6" w:tplc="DBBE89C0" w:tentative="1">
      <w:start w:val="1"/>
      <w:numFmt w:val="bullet"/>
      <w:lvlText w:val="•"/>
      <w:lvlJc w:val="left"/>
      <w:pPr>
        <w:tabs>
          <w:tab w:val="num" w:pos="5040"/>
        </w:tabs>
        <w:ind w:left="5040" w:hanging="360"/>
      </w:pPr>
      <w:rPr>
        <w:rFonts w:ascii="Times New Roman" w:hAnsi="Times New Roman" w:hint="default"/>
      </w:rPr>
    </w:lvl>
    <w:lvl w:ilvl="7" w:tplc="F0AEEE84" w:tentative="1">
      <w:start w:val="1"/>
      <w:numFmt w:val="bullet"/>
      <w:lvlText w:val="•"/>
      <w:lvlJc w:val="left"/>
      <w:pPr>
        <w:tabs>
          <w:tab w:val="num" w:pos="5760"/>
        </w:tabs>
        <w:ind w:left="5760" w:hanging="360"/>
      </w:pPr>
      <w:rPr>
        <w:rFonts w:ascii="Times New Roman" w:hAnsi="Times New Roman" w:hint="default"/>
      </w:rPr>
    </w:lvl>
    <w:lvl w:ilvl="8" w:tplc="BBA058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25825F6"/>
    <w:multiLevelType w:val="hybridMultilevel"/>
    <w:tmpl w:val="08C0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E7360"/>
    <w:multiLevelType w:val="hybridMultilevel"/>
    <w:tmpl w:val="1B1E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8355E"/>
    <w:multiLevelType w:val="hybridMultilevel"/>
    <w:tmpl w:val="3CE43F70"/>
    <w:lvl w:ilvl="0" w:tplc="35FC712E">
      <w:start w:val="1"/>
      <w:numFmt w:val="bullet"/>
      <w:lvlText w:val="●"/>
      <w:lvlJc w:val="left"/>
      <w:pPr>
        <w:tabs>
          <w:tab w:val="num" w:pos="720"/>
        </w:tabs>
        <w:ind w:left="720" w:hanging="360"/>
      </w:pPr>
      <w:rPr>
        <w:rFonts w:ascii="Times New Roman" w:hAnsi="Times New Roman" w:hint="default"/>
      </w:rPr>
    </w:lvl>
    <w:lvl w:ilvl="1" w:tplc="8E306FA6" w:tentative="1">
      <w:start w:val="1"/>
      <w:numFmt w:val="bullet"/>
      <w:lvlText w:val="●"/>
      <w:lvlJc w:val="left"/>
      <w:pPr>
        <w:tabs>
          <w:tab w:val="num" w:pos="1440"/>
        </w:tabs>
        <w:ind w:left="1440" w:hanging="360"/>
      </w:pPr>
      <w:rPr>
        <w:rFonts w:ascii="Times New Roman" w:hAnsi="Times New Roman" w:hint="default"/>
      </w:rPr>
    </w:lvl>
    <w:lvl w:ilvl="2" w:tplc="D136C220" w:tentative="1">
      <w:start w:val="1"/>
      <w:numFmt w:val="bullet"/>
      <w:lvlText w:val="●"/>
      <w:lvlJc w:val="left"/>
      <w:pPr>
        <w:tabs>
          <w:tab w:val="num" w:pos="2160"/>
        </w:tabs>
        <w:ind w:left="2160" w:hanging="360"/>
      </w:pPr>
      <w:rPr>
        <w:rFonts w:ascii="Times New Roman" w:hAnsi="Times New Roman" w:hint="default"/>
      </w:rPr>
    </w:lvl>
    <w:lvl w:ilvl="3" w:tplc="B69058AE" w:tentative="1">
      <w:start w:val="1"/>
      <w:numFmt w:val="bullet"/>
      <w:lvlText w:val="●"/>
      <w:lvlJc w:val="left"/>
      <w:pPr>
        <w:tabs>
          <w:tab w:val="num" w:pos="2880"/>
        </w:tabs>
        <w:ind w:left="2880" w:hanging="360"/>
      </w:pPr>
      <w:rPr>
        <w:rFonts w:ascii="Times New Roman" w:hAnsi="Times New Roman" w:hint="default"/>
      </w:rPr>
    </w:lvl>
    <w:lvl w:ilvl="4" w:tplc="83CA80EE" w:tentative="1">
      <w:start w:val="1"/>
      <w:numFmt w:val="bullet"/>
      <w:lvlText w:val="●"/>
      <w:lvlJc w:val="left"/>
      <w:pPr>
        <w:tabs>
          <w:tab w:val="num" w:pos="3600"/>
        </w:tabs>
        <w:ind w:left="3600" w:hanging="360"/>
      </w:pPr>
      <w:rPr>
        <w:rFonts w:ascii="Times New Roman" w:hAnsi="Times New Roman" w:hint="default"/>
      </w:rPr>
    </w:lvl>
    <w:lvl w:ilvl="5" w:tplc="91363414" w:tentative="1">
      <w:start w:val="1"/>
      <w:numFmt w:val="bullet"/>
      <w:lvlText w:val="●"/>
      <w:lvlJc w:val="left"/>
      <w:pPr>
        <w:tabs>
          <w:tab w:val="num" w:pos="4320"/>
        </w:tabs>
        <w:ind w:left="4320" w:hanging="360"/>
      </w:pPr>
      <w:rPr>
        <w:rFonts w:ascii="Times New Roman" w:hAnsi="Times New Roman" w:hint="default"/>
      </w:rPr>
    </w:lvl>
    <w:lvl w:ilvl="6" w:tplc="305C7FDC" w:tentative="1">
      <w:start w:val="1"/>
      <w:numFmt w:val="bullet"/>
      <w:lvlText w:val="●"/>
      <w:lvlJc w:val="left"/>
      <w:pPr>
        <w:tabs>
          <w:tab w:val="num" w:pos="5040"/>
        </w:tabs>
        <w:ind w:left="5040" w:hanging="360"/>
      </w:pPr>
      <w:rPr>
        <w:rFonts w:ascii="Times New Roman" w:hAnsi="Times New Roman" w:hint="default"/>
      </w:rPr>
    </w:lvl>
    <w:lvl w:ilvl="7" w:tplc="A8900910" w:tentative="1">
      <w:start w:val="1"/>
      <w:numFmt w:val="bullet"/>
      <w:lvlText w:val="●"/>
      <w:lvlJc w:val="left"/>
      <w:pPr>
        <w:tabs>
          <w:tab w:val="num" w:pos="5760"/>
        </w:tabs>
        <w:ind w:left="5760" w:hanging="360"/>
      </w:pPr>
      <w:rPr>
        <w:rFonts w:ascii="Times New Roman" w:hAnsi="Times New Roman" w:hint="default"/>
      </w:rPr>
    </w:lvl>
    <w:lvl w:ilvl="8" w:tplc="2294F18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272315A"/>
    <w:multiLevelType w:val="hybridMultilevel"/>
    <w:tmpl w:val="1742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217707"/>
    <w:multiLevelType w:val="hybridMultilevel"/>
    <w:tmpl w:val="C0B09BE0"/>
    <w:lvl w:ilvl="0" w:tplc="3A94A69A">
      <w:start w:val="1"/>
      <w:numFmt w:val="bullet"/>
      <w:lvlText w:val="o"/>
      <w:lvlJc w:val="left"/>
      <w:pPr>
        <w:tabs>
          <w:tab w:val="num" w:pos="720"/>
        </w:tabs>
        <w:ind w:left="720" w:hanging="360"/>
      </w:pPr>
      <w:rPr>
        <w:rFonts w:ascii="Courier New" w:hAnsi="Courier New" w:hint="default"/>
      </w:rPr>
    </w:lvl>
    <w:lvl w:ilvl="1" w:tplc="06EE2A28">
      <w:start w:val="1"/>
      <w:numFmt w:val="bullet"/>
      <w:lvlText w:val="o"/>
      <w:lvlJc w:val="left"/>
      <w:pPr>
        <w:tabs>
          <w:tab w:val="num" w:pos="1440"/>
        </w:tabs>
        <w:ind w:left="1440" w:hanging="360"/>
      </w:pPr>
      <w:rPr>
        <w:rFonts w:ascii="Courier New" w:hAnsi="Courier New" w:hint="default"/>
      </w:rPr>
    </w:lvl>
    <w:lvl w:ilvl="2" w:tplc="A204036C" w:tentative="1">
      <w:start w:val="1"/>
      <w:numFmt w:val="bullet"/>
      <w:lvlText w:val="o"/>
      <w:lvlJc w:val="left"/>
      <w:pPr>
        <w:tabs>
          <w:tab w:val="num" w:pos="2160"/>
        </w:tabs>
        <w:ind w:left="2160" w:hanging="360"/>
      </w:pPr>
      <w:rPr>
        <w:rFonts w:ascii="Courier New" w:hAnsi="Courier New" w:hint="default"/>
      </w:rPr>
    </w:lvl>
    <w:lvl w:ilvl="3" w:tplc="A3C8BA3E" w:tentative="1">
      <w:start w:val="1"/>
      <w:numFmt w:val="bullet"/>
      <w:lvlText w:val="o"/>
      <w:lvlJc w:val="left"/>
      <w:pPr>
        <w:tabs>
          <w:tab w:val="num" w:pos="2880"/>
        </w:tabs>
        <w:ind w:left="2880" w:hanging="360"/>
      </w:pPr>
      <w:rPr>
        <w:rFonts w:ascii="Courier New" w:hAnsi="Courier New" w:hint="default"/>
      </w:rPr>
    </w:lvl>
    <w:lvl w:ilvl="4" w:tplc="755A7294" w:tentative="1">
      <w:start w:val="1"/>
      <w:numFmt w:val="bullet"/>
      <w:lvlText w:val="o"/>
      <w:lvlJc w:val="left"/>
      <w:pPr>
        <w:tabs>
          <w:tab w:val="num" w:pos="3600"/>
        </w:tabs>
        <w:ind w:left="3600" w:hanging="360"/>
      </w:pPr>
      <w:rPr>
        <w:rFonts w:ascii="Courier New" w:hAnsi="Courier New" w:hint="default"/>
      </w:rPr>
    </w:lvl>
    <w:lvl w:ilvl="5" w:tplc="316C5104" w:tentative="1">
      <w:start w:val="1"/>
      <w:numFmt w:val="bullet"/>
      <w:lvlText w:val="o"/>
      <w:lvlJc w:val="left"/>
      <w:pPr>
        <w:tabs>
          <w:tab w:val="num" w:pos="4320"/>
        </w:tabs>
        <w:ind w:left="4320" w:hanging="360"/>
      </w:pPr>
      <w:rPr>
        <w:rFonts w:ascii="Courier New" w:hAnsi="Courier New" w:hint="default"/>
      </w:rPr>
    </w:lvl>
    <w:lvl w:ilvl="6" w:tplc="7B061F96" w:tentative="1">
      <w:start w:val="1"/>
      <w:numFmt w:val="bullet"/>
      <w:lvlText w:val="o"/>
      <w:lvlJc w:val="left"/>
      <w:pPr>
        <w:tabs>
          <w:tab w:val="num" w:pos="5040"/>
        </w:tabs>
        <w:ind w:left="5040" w:hanging="360"/>
      </w:pPr>
      <w:rPr>
        <w:rFonts w:ascii="Courier New" w:hAnsi="Courier New" w:hint="default"/>
      </w:rPr>
    </w:lvl>
    <w:lvl w:ilvl="7" w:tplc="260E6140" w:tentative="1">
      <w:start w:val="1"/>
      <w:numFmt w:val="bullet"/>
      <w:lvlText w:val="o"/>
      <w:lvlJc w:val="left"/>
      <w:pPr>
        <w:tabs>
          <w:tab w:val="num" w:pos="5760"/>
        </w:tabs>
        <w:ind w:left="5760" w:hanging="360"/>
      </w:pPr>
      <w:rPr>
        <w:rFonts w:ascii="Courier New" w:hAnsi="Courier New" w:hint="default"/>
      </w:rPr>
    </w:lvl>
    <w:lvl w:ilvl="8" w:tplc="3A86AC06"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6CDF7E31"/>
    <w:multiLevelType w:val="multilevel"/>
    <w:tmpl w:val="C79A032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155680534">
    <w:abstractNumId w:val="1"/>
  </w:num>
  <w:num w:numId="2" w16cid:durableId="1256288025">
    <w:abstractNumId w:val="3"/>
  </w:num>
  <w:num w:numId="3" w16cid:durableId="974021578">
    <w:abstractNumId w:val="7"/>
  </w:num>
  <w:num w:numId="4" w16cid:durableId="1288852413">
    <w:abstractNumId w:val="0"/>
  </w:num>
  <w:num w:numId="5" w16cid:durableId="859776907">
    <w:abstractNumId w:val="5"/>
  </w:num>
  <w:num w:numId="6" w16cid:durableId="1934047250">
    <w:abstractNumId w:val="6"/>
  </w:num>
  <w:num w:numId="7" w16cid:durableId="217010357">
    <w:abstractNumId w:val="4"/>
  </w:num>
  <w:num w:numId="8" w16cid:durableId="1040938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369"/>
    <w:rsid w:val="000557FC"/>
    <w:rsid w:val="00061D5B"/>
    <w:rsid w:val="00062565"/>
    <w:rsid w:val="000749BF"/>
    <w:rsid w:val="000C041D"/>
    <w:rsid w:val="000D4C59"/>
    <w:rsid w:val="000F1767"/>
    <w:rsid w:val="0014490A"/>
    <w:rsid w:val="00166DE9"/>
    <w:rsid w:val="001C0E1A"/>
    <w:rsid w:val="001E0369"/>
    <w:rsid w:val="00206D4F"/>
    <w:rsid w:val="002263B8"/>
    <w:rsid w:val="002321A6"/>
    <w:rsid w:val="00253546"/>
    <w:rsid w:val="00294281"/>
    <w:rsid w:val="003142EA"/>
    <w:rsid w:val="00362910"/>
    <w:rsid w:val="00373151"/>
    <w:rsid w:val="003B0D22"/>
    <w:rsid w:val="003B4A30"/>
    <w:rsid w:val="003F6620"/>
    <w:rsid w:val="00416794"/>
    <w:rsid w:val="00421A4D"/>
    <w:rsid w:val="004648C0"/>
    <w:rsid w:val="00527AC4"/>
    <w:rsid w:val="005525D0"/>
    <w:rsid w:val="00553EF6"/>
    <w:rsid w:val="005B45A3"/>
    <w:rsid w:val="00615C18"/>
    <w:rsid w:val="006212CC"/>
    <w:rsid w:val="0062644D"/>
    <w:rsid w:val="00633E51"/>
    <w:rsid w:val="006900F2"/>
    <w:rsid w:val="006F7336"/>
    <w:rsid w:val="00761376"/>
    <w:rsid w:val="007644DB"/>
    <w:rsid w:val="007A4769"/>
    <w:rsid w:val="007B06B3"/>
    <w:rsid w:val="007C4604"/>
    <w:rsid w:val="007C4DA3"/>
    <w:rsid w:val="007D7664"/>
    <w:rsid w:val="007F11D0"/>
    <w:rsid w:val="00816883"/>
    <w:rsid w:val="008626AF"/>
    <w:rsid w:val="008962A2"/>
    <w:rsid w:val="008F181B"/>
    <w:rsid w:val="008F6855"/>
    <w:rsid w:val="00906CA7"/>
    <w:rsid w:val="00920014"/>
    <w:rsid w:val="00974EAE"/>
    <w:rsid w:val="00982852"/>
    <w:rsid w:val="009A1851"/>
    <w:rsid w:val="009B0F64"/>
    <w:rsid w:val="009F7353"/>
    <w:rsid w:val="00A12E75"/>
    <w:rsid w:val="00A35F20"/>
    <w:rsid w:val="00A41D05"/>
    <w:rsid w:val="00A70A59"/>
    <w:rsid w:val="00A74E28"/>
    <w:rsid w:val="00A978C6"/>
    <w:rsid w:val="00AB202C"/>
    <w:rsid w:val="00AD335A"/>
    <w:rsid w:val="00AE4906"/>
    <w:rsid w:val="00AF14AE"/>
    <w:rsid w:val="00B52397"/>
    <w:rsid w:val="00B8146A"/>
    <w:rsid w:val="00B8715B"/>
    <w:rsid w:val="00BC5D97"/>
    <w:rsid w:val="00C0380E"/>
    <w:rsid w:val="00C263FD"/>
    <w:rsid w:val="00C45F18"/>
    <w:rsid w:val="00C543A2"/>
    <w:rsid w:val="00C85200"/>
    <w:rsid w:val="00C9733A"/>
    <w:rsid w:val="00CA1143"/>
    <w:rsid w:val="00E22BC1"/>
    <w:rsid w:val="00E2475F"/>
    <w:rsid w:val="00E434E4"/>
    <w:rsid w:val="00E71CF2"/>
    <w:rsid w:val="00E9430F"/>
    <w:rsid w:val="00ED54E6"/>
    <w:rsid w:val="00EF5838"/>
    <w:rsid w:val="00F06A36"/>
    <w:rsid w:val="00F414D3"/>
    <w:rsid w:val="00F54805"/>
    <w:rsid w:val="00F7654A"/>
    <w:rsid w:val="00FA31D8"/>
    <w:rsid w:val="00FB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0F7F"/>
  <w15:docId w15:val="{6793F794-32C6-49A9-9D12-E18209D5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AE4906"/>
    <w:pPr>
      <w:tabs>
        <w:tab w:val="center" w:pos="4680"/>
        <w:tab w:val="right" w:pos="9360"/>
      </w:tabs>
      <w:spacing w:line="240" w:lineRule="auto"/>
    </w:pPr>
  </w:style>
  <w:style w:type="character" w:customStyle="1" w:styleId="HeaderChar">
    <w:name w:val="Header Char"/>
    <w:basedOn w:val="DefaultParagraphFont"/>
    <w:link w:val="Header"/>
    <w:uiPriority w:val="99"/>
    <w:rsid w:val="00AE4906"/>
  </w:style>
  <w:style w:type="paragraph" w:styleId="Footer">
    <w:name w:val="footer"/>
    <w:basedOn w:val="Normal"/>
    <w:link w:val="FooterChar"/>
    <w:uiPriority w:val="99"/>
    <w:unhideWhenUsed/>
    <w:rsid w:val="00AE4906"/>
    <w:pPr>
      <w:tabs>
        <w:tab w:val="center" w:pos="4680"/>
        <w:tab w:val="right" w:pos="9360"/>
      </w:tabs>
      <w:spacing w:line="240" w:lineRule="auto"/>
    </w:pPr>
  </w:style>
  <w:style w:type="character" w:customStyle="1" w:styleId="FooterChar">
    <w:name w:val="Footer Char"/>
    <w:basedOn w:val="DefaultParagraphFont"/>
    <w:link w:val="Footer"/>
    <w:uiPriority w:val="99"/>
    <w:rsid w:val="00AE4906"/>
  </w:style>
  <w:style w:type="paragraph" w:styleId="NoSpacing">
    <w:name w:val="No Spacing"/>
    <w:basedOn w:val="Normal"/>
    <w:link w:val="NoSpacingChar"/>
    <w:uiPriority w:val="1"/>
    <w:qFormat/>
    <w:rsid w:val="00AE4906"/>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EastAsia" w:hAnsiTheme="minorHAnsi" w:cstheme="minorBidi"/>
      <w:color w:val="auto"/>
      <w:lang w:val="en-US" w:bidi="en-US"/>
    </w:rPr>
  </w:style>
  <w:style w:type="character" w:customStyle="1" w:styleId="NoSpacingChar">
    <w:name w:val="No Spacing Char"/>
    <w:basedOn w:val="DefaultParagraphFont"/>
    <w:link w:val="NoSpacing"/>
    <w:uiPriority w:val="1"/>
    <w:rsid w:val="00AE4906"/>
    <w:rPr>
      <w:rFonts w:asciiTheme="minorHAnsi" w:eastAsiaTheme="minorEastAsia" w:hAnsiTheme="minorHAnsi" w:cstheme="minorBidi"/>
      <w:color w:val="auto"/>
      <w:lang w:val="en-US" w:bidi="en-US"/>
    </w:rPr>
  </w:style>
  <w:style w:type="paragraph" w:styleId="BalloonText">
    <w:name w:val="Balloon Text"/>
    <w:basedOn w:val="Normal"/>
    <w:link w:val="BalloonTextChar"/>
    <w:uiPriority w:val="99"/>
    <w:semiHidden/>
    <w:unhideWhenUsed/>
    <w:rsid w:val="00253546"/>
    <w:pPr>
      <w:pBdr>
        <w:top w:val="none" w:sz="0" w:space="0" w:color="auto"/>
        <w:left w:val="none" w:sz="0" w:space="0" w:color="auto"/>
        <w:bottom w:val="none" w:sz="0" w:space="0" w:color="auto"/>
        <w:right w:val="none" w:sz="0" w:space="0" w:color="auto"/>
        <w:between w:val="none" w:sz="0" w:space="0" w:color="auto"/>
      </w:pBdr>
      <w:spacing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53546"/>
    <w:rPr>
      <w:rFonts w:ascii="Segoe UI" w:hAnsi="Segoe UI" w:cs="Segoe UI"/>
      <w:sz w:val="18"/>
      <w:szCs w:val="18"/>
      <w:lang w:val="en-US"/>
    </w:rPr>
  </w:style>
  <w:style w:type="paragraph" w:styleId="ListParagraph">
    <w:name w:val="List Paragraph"/>
    <w:basedOn w:val="Normal"/>
    <w:link w:val="ListParagraphChar"/>
    <w:uiPriority w:val="34"/>
    <w:qFormat/>
    <w:rsid w:val="00253546"/>
    <w:pPr>
      <w:pBdr>
        <w:top w:val="none" w:sz="0" w:space="0" w:color="auto"/>
        <w:left w:val="none" w:sz="0" w:space="0" w:color="auto"/>
        <w:bottom w:val="none" w:sz="0" w:space="0" w:color="auto"/>
        <w:right w:val="none" w:sz="0" w:space="0" w:color="auto"/>
        <w:between w:val="none" w:sz="0" w:space="0" w:color="auto"/>
      </w:pBdr>
      <w:ind w:left="720"/>
      <w:contextualSpacing/>
    </w:pPr>
    <w:rPr>
      <w:lang w:val="en-US"/>
    </w:rPr>
  </w:style>
  <w:style w:type="character" w:customStyle="1" w:styleId="ListParagraphChar">
    <w:name w:val="List Paragraph Char"/>
    <w:link w:val="ListParagraph"/>
    <w:uiPriority w:val="34"/>
    <w:rsid w:val="00253546"/>
    <w:rPr>
      <w:lang w:val="en-US"/>
    </w:rPr>
  </w:style>
  <w:style w:type="paragraph" w:styleId="NormalWeb">
    <w:name w:val="Normal (Web)"/>
    <w:basedOn w:val="Normal"/>
    <w:uiPriority w:val="99"/>
    <w:unhideWhenUsed/>
    <w:rsid w:val="0025354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FootnoteText">
    <w:name w:val="footnote text"/>
    <w:basedOn w:val="Normal"/>
    <w:link w:val="FootnoteTextChar"/>
    <w:uiPriority w:val="99"/>
    <w:semiHidden/>
    <w:unhideWhenUsed/>
    <w:rsid w:val="005525D0"/>
    <w:pPr>
      <w:spacing w:line="240" w:lineRule="auto"/>
    </w:pPr>
    <w:rPr>
      <w:sz w:val="20"/>
      <w:szCs w:val="20"/>
    </w:rPr>
  </w:style>
  <w:style w:type="character" w:customStyle="1" w:styleId="FootnoteTextChar">
    <w:name w:val="Footnote Text Char"/>
    <w:basedOn w:val="DefaultParagraphFont"/>
    <w:link w:val="FootnoteText"/>
    <w:uiPriority w:val="99"/>
    <w:semiHidden/>
    <w:rsid w:val="005525D0"/>
    <w:rPr>
      <w:sz w:val="20"/>
      <w:szCs w:val="20"/>
    </w:rPr>
  </w:style>
  <w:style w:type="character" w:styleId="FootnoteReference">
    <w:name w:val="footnote reference"/>
    <w:basedOn w:val="DefaultParagraphFont"/>
    <w:uiPriority w:val="99"/>
    <w:semiHidden/>
    <w:unhideWhenUsed/>
    <w:rsid w:val="005525D0"/>
    <w:rPr>
      <w:vertAlign w:val="superscript"/>
    </w:rPr>
  </w:style>
  <w:style w:type="paragraph" w:styleId="TOCHeading">
    <w:name w:val="TOC Heading"/>
    <w:basedOn w:val="Heading1"/>
    <w:next w:val="Normal"/>
    <w:uiPriority w:val="39"/>
    <w:unhideWhenUsed/>
    <w:qFormat/>
    <w:rsid w:val="00AD335A"/>
    <w:pPr>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EndnoteText">
    <w:name w:val="endnote text"/>
    <w:basedOn w:val="Normal"/>
    <w:link w:val="EndnoteTextChar"/>
    <w:uiPriority w:val="99"/>
    <w:unhideWhenUsed/>
    <w:rsid w:val="00AD335A"/>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lang w:val="en-US"/>
    </w:rPr>
  </w:style>
  <w:style w:type="character" w:customStyle="1" w:styleId="EndnoteTextChar">
    <w:name w:val="Endnote Text Char"/>
    <w:basedOn w:val="DefaultParagraphFont"/>
    <w:link w:val="EndnoteText"/>
    <w:uiPriority w:val="99"/>
    <w:rsid w:val="00AD335A"/>
    <w:rPr>
      <w:rFonts w:asciiTheme="minorHAnsi" w:eastAsiaTheme="minorHAnsi" w:hAnsiTheme="minorHAnsi" w:cstheme="minorBidi"/>
      <w:color w:val="auto"/>
      <w:sz w:val="20"/>
      <w:szCs w:val="20"/>
      <w:lang w:val="en-US"/>
    </w:rPr>
  </w:style>
  <w:style w:type="character" w:styleId="EndnoteReference">
    <w:name w:val="endnote reference"/>
    <w:basedOn w:val="DefaultParagraphFont"/>
    <w:uiPriority w:val="99"/>
    <w:semiHidden/>
    <w:unhideWhenUsed/>
    <w:rsid w:val="00AD33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509">
      <w:bodyDiv w:val="1"/>
      <w:marLeft w:val="0"/>
      <w:marRight w:val="0"/>
      <w:marTop w:val="0"/>
      <w:marBottom w:val="0"/>
      <w:divBdr>
        <w:top w:val="none" w:sz="0" w:space="0" w:color="auto"/>
        <w:left w:val="none" w:sz="0" w:space="0" w:color="auto"/>
        <w:bottom w:val="none" w:sz="0" w:space="0" w:color="auto"/>
        <w:right w:val="none" w:sz="0" w:space="0" w:color="auto"/>
      </w:divBdr>
      <w:divsChild>
        <w:div w:id="1396733112">
          <w:marLeft w:val="0"/>
          <w:marRight w:val="0"/>
          <w:marTop w:val="0"/>
          <w:marBottom w:val="320"/>
          <w:divBdr>
            <w:top w:val="none" w:sz="0" w:space="0" w:color="auto"/>
            <w:left w:val="none" w:sz="0" w:space="0" w:color="auto"/>
            <w:bottom w:val="none" w:sz="0" w:space="0" w:color="auto"/>
            <w:right w:val="none" w:sz="0" w:space="0" w:color="auto"/>
          </w:divBdr>
        </w:div>
        <w:div w:id="686713169">
          <w:marLeft w:val="0"/>
          <w:marRight w:val="0"/>
          <w:marTop w:val="0"/>
          <w:marBottom w:val="320"/>
          <w:divBdr>
            <w:top w:val="none" w:sz="0" w:space="0" w:color="auto"/>
            <w:left w:val="none" w:sz="0" w:space="0" w:color="auto"/>
            <w:bottom w:val="none" w:sz="0" w:space="0" w:color="auto"/>
            <w:right w:val="none" w:sz="0" w:space="0" w:color="auto"/>
          </w:divBdr>
        </w:div>
      </w:divsChild>
    </w:div>
    <w:div w:id="1066875100">
      <w:bodyDiv w:val="1"/>
      <w:marLeft w:val="0"/>
      <w:marRight w:val="0"/>
      <w:marTop w:val="0"/>
      <w:marBottom w:val="0"/>
      <w:divBdr>
        <w:top w:val="none" w:sz="0" w:space="0" w:color="auto"/>
        <w:left w:val="none" w:sz="0" w:space="0" w:color="auto"/>
        <w:bottom w:val="none" w:sz="0" w:space="0" w:color="auto"/>
        <w:right w:val="none" w:sz="0" w:space="0" w:color="auto"/>
      </w:divBdr>
    </w:div>
    <w:div w:id="1399286737">
      <w:bodyDiv w:val="1"/>
      <w:marLeft w:val="0"/>
      <w:marRight w:val="0"/>
      <w:marTop w:val="0"/>
      <w:marBottom w:val="0"/>
      <w:divBdr>
        <w:top w:val="none" w:sz="0" w:space="0" w:color="auto"/>
        <w:left w:val="none" w:sz="0" w:space="0" w:color="auto"/>
        <w:bottom w:val="none" w:sz="0" w:space="0" w:color="auto"/>
        <w:right w:val="none" w:sz="0" w:space="0" w:color="auto"/>
      </w:divBdr>
      <w:divsChild>
        <w:div w:id="699286360">
          <w:marLeft w:val="806"/>
          <w:marRight w:val="0"/>
          <w:marTop w:val="220"/>
          <w:marBottom w:val="0"/>
          <w:divBdr>
            <w:top w:val="none" w:sz="0" w:space="0" w:color="auto"/>
            <w:left w:val="none" w:sz="0" w:space="0" w:color="auto"/>
            <w:bottom w:val="none" w:sz="0" w:space="0" w:color="auto"/>
            <w:right w:val="none" w:sz="0" w:space="0" w:color="auto"/>
          </w:divBdr>
        </w:div>
        <w:div w:id="904298438">
          <w:marLeft w:val="806"/>
          <w:marRight w:val="0"/>
          <w:marTop w:val="220"/>
          <w:marBottom w:val="0"/>
          <w:divBdr>
            <w:top w:val="none" w:sz="0" w:space="0" w:color="auto"/>
            <w:left w:val="none" w:sz="0" w:space="0" w:color="auto"/>
            <w:bottom w:val="none" w:sz="0" w:space="0" w:color="auto"/>
            <w:right w:val="none" w:sz="0" w:space="0" w:color="auto"/>
          </w:divBdr>
        </w:div>
        <w:div w:id="1263605880">
          <w:marLeft w:val="806"/>
          <w:marRight w:val="0"/>
          <w:marTop w:val="220"/>
          <w:marBottom w:val="0"/>
          <w:divBdr>
            <w:top w:val="none" w:sz="0" w:space="0" w:color="auto"/>
            <w:left w:val="none" w:sz="0" w:space="0" w:color="auto"/>
            <w:bottom w:val="none" w:sz="0" w:space="0" w:color="auto"/>
            <w:right w:val="none" w:sz="0" w:space="0" w:color="auto"/>
          </w:divBdr>
        </w:div>
      </w:divsChild>
    </w:div>
    <w:div w:id="1809204435">
      <w:bodyDiv w:val="1"/>
      <w:marLeft w:val="0"/>
      <w:marRight w:val="0"/>
      <w:marTop w:val="0"/>
      <w:marBottom w:val="0"/>
      <w:divBdr>
        <w:top w:val="none" w:sz="0" w:space="0" w:color="auto"/>
        <w:left w:val="none" w:sz="0" w:space="0" w:color="auto"/>
        <w:bottom w:val="none" w:sz="0" w:space="0" w:color="auto"/>
        <w:right w:val="none" w:sz="0" w:space="0" w:color="auto"/>
      </w:divBdr>
    </w:div>
    <w:div w:id="1933590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cid:df5afac9-32bc-41d5-a7f1-f9a18cd0b61a@namprd16.prod.outlook.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cid:732bb0af-1ea6-4a02-944c-1d878f3883be@namprd16.prod.outlook.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CA1A12A7932D438D5EC56EA54BBAAB" ma:contentTypeVersion="11" ma:contentTypeDescription="Create a new document." ma:contentTypeScope="" ma:versionID="a17b2e0e57b8096d9332b8a47902949d">
  <xsd:schema xmlns:xsd="http://www.w3.org/2001/XMLSchema" xmlns:xs="http://www.w3.org/2001/XMLSchema" xmlns:p="http://schemas.microsoft.com/office/2006/metadata/properties" xmlns:ns1="http://schemas.microsoft.com/sharepoint/v3" xmlns:ns3="b70696de-46eb-4dd7-80e9-0274b05cebbf" targetNamespace="http://schemas.microsoft.com/office/2006/metadata/properties" ma:root="true" ma:fieldsID="624f64fe39537048569fbbb39eabb869" ns1:_="" ns3:_="">
    <xsd:import namespace="http://schemas.microsoft.com/sharepoint/v3"/>
    <xsd:import namespace="b70696de-46eb-4dd7-80e9-0274b05ceb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0696de-46eb-4dd7-80e9-0274b05ce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20CDA-52E2-4D52-B6AA-E3D1C4CAB2F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4ABBCD8-709A-4057-8C43-D9CC936B1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0696de-46eb-4dd7-80e9-0274b05ce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87DE5-2AD6-482A-8617-60C3335470D2}">
  <ds:schemaRefs>
    <ds:schemaRef ds:uri="http://schemas.openxmlformats.org/officeDocument/2006/bibliography"/>
  </ds:schemaRefs>
</ds:datastoreItem>
</file>

<file path=customXml/itemProps4.xml><?xml version="1.0" encoding="utf-8"?>
<ds:datastoreItem xmlns:ds="http://schemas.openxmlformats.org/officeDocument/2006/customXml" ds:itemID="{1360193D-4ED3-4940-8D70-333AB272C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Reier</dc:creator>
  <cp:lastModifiedBy>Chuck Molinski</cp:lastModifiedBy>
  <cp:revision>2</cp:revision>
  <cp:lastPrinted>2020-01-09T14:33:00Z</cp:lastPrinted>
  <dcterms:created xsi:type="dcterms:W3CDTF">2024-08-13T17:25:00Z</dcterms:created>
  <dcterms:modified xsi:type="dcterms:W3CDTF">2024-08-13T17:25:00Z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0x01010008CA1A12A7932D438D5EC56EA54BBAAB</vt:lpwstr>
  </property>
</Properties>
</file>